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0432" w14:textId="496773C1" w:rsidR="006713AC" w:rsidRPr="00AA0D67" w:rsidRDefault="00927100" w:rsidP="00927100">
      <w:pPr>
        <w:rPr>
          <w:rFonts w:ascii="Arial Black" w:hAnsi="Arial Black" w:cs="Arial"/>
          <w:bCs/>
          <w:sz w:val="32"/>
          <w:szCs w:val="18"/>
          <w:lang w:val="en-US"/>
        </w:rPr>
      </w:pPr>
      <w:r>
        <w:rPr>
          <w:rFonts w:ascii="Arial Black" w:hAnsi="Arial Black" w:cs="Arial"/>
          <w:bCs/>
          <w:sz w:val="32"/>
          <w:szCs w:val="18"/>
          <w:lang w:val="en-US"/>
        </w:rPr>
        <w:t>2.4</w:t>
      </w:r>
      <w:r>
        <w:rPr>
          <w:rFonts w:ascii="Arial Black" w:hAnsi="Arial Black" w:cs="Arial"/>
          <w:bCs/>
          <w:sz w:val="32"/>
          <w:szCs w:val="18"/>
          <w:lang w:val="en-US"/>
        </w:rPr>
        <w:tab/>
      </w:r>
      <w:r>
        <w:rPr>
          <w:rFonts w:ascii="Arial Black" w:hAnsi="Arial Black" w:cs="Arial"/>
          <w:bCs/>
          <w:sz w:val="32"/>
          <w:szCs w:val="18"/>
          <w:lang w:val="en-US"/>
        </w:rPr>
        <w:tab/>
      </w:r>
      <w:r>
        <w:rPr>
          <w:rFonts w:ascii="Arial Black" w:hAnsi="Arial Black" w:cs="Arial"/>
          <w:bCs/>
          <w:sz w:val="32"/>
          <w:szCs w:val="18"/>
          <w:lang w:val="en-US"/>
        </w:rPr>
        <w:tab/>
      </w:r>
      <w:bookmarkStart w:id="0" w:name="_GoBack"/>
      <w:bookmarkEnd w:id="0"/>
      <w:r w:rsidR="003258A0" w:rsidRPr="00AA0D67">
        <w:rPr>
          <w:rFonts w:ascii="Arial Black" w:hAnsi="Arial Black" w:cs="Arial"/>
          <w:bCs/>
          <w:sz w:val="32"/>
          <w:szCs w:val="18"/>
          <w:lang w:val="en-US"/>
        </w:rPr>
        <w:t xml:space="preserve">Sleep and </w:t>
      </w:r>
      <w:r w:rsidR="000A4F65" w:rsidRPr="00AA0D67">
        <w:rPr>
          <w:rFonts w:ascii="Arial Black" w:hAnsi="Arial Black" w:cs="Arial"/>
          <w:bCs/>
          <w:sz w:val="32"/>
          <w:szCs w:val="18"/>
          <w:lang w:val="en-US"/>
        </w:rPr>
        <w:t>R</w:t>
      </w:r>
      <w:r w:rsidR="003258A0" w:rsidRPr="00AA0D67">
        <w:rPr>
          <w:rFonts w:ascii="Arial Black" w:hAnsi="Arial Black" w:cs="Arial"/>
          <w:bCs/>
          <w:sz w:val="32"/>
          <w:szCs w:val="18"/>
          <w:lang w:val="en-US"/>
        </w:rPr>
        <w:t xml:space="preserve">est </w:t>
      </w:r>
    </w:p>
    <w:p w14:paraId="6875AC3C" w14:textId="77777777" w:rsidR="002B4671" w:rsidRPr="00F04FFB" w:rsidRDefault="002B4671" w:rsidP="002B4671">
      <w:pPr>
        <w:pStyle w:val="NormalWeb"/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This policy will provide clear guidelines for the implementation of safe relaxation and sleep practices that meet the individual needs of children attending Jamboree </w:t>
      </w:r>
      <w:r w:rsidR="00FD0409">
        <w:rPr>
          <w:rFonts w:ascii="Arial" w:hAnsi="Arial" w:cs="Arial"/>
          <w:sz w:val="20"/>
          <w:szCs w:val="20"/>
        </w:rPr>
        <w:t>H</w:t>
      </w:r>
      <w:r w:rsidRPr="00F04FFB">
        <w:rPr>
          <w:rFonts w:ascii="Arial" w:hAnsi="Arial" w:cs="Arial"/>
          <w:sz w:val="20"/>
          <w:szCs w:val="20"/>
        </w:rPr>
        <w:t xml:space="preserve">eights OSHC. All children have individual sleep and rest requirements which we need to consider and cater for, to ensure their needs are being met. Children need a comfortable relaxing environment to enable their bodies to rest. This environment must be safe and well supervised to ensure children are safe, healthy and secure in their environment. </w:t>
      </w:r>
    </w:p>
    <w:p w14:paraId="2B6841BD" w14:textId="77777777" w:rsidR="00AA0D67" w:rsidRPr="0039119D" w:rsidRDefault="00AA0D67" w:rsidP="00AA0D67">
      <w:pPr>
        <w:pStyle w:val="Heading2"/>
        <w:ind w:left="0"/>
        <w:rPr>
          <w:rFonts w:ascii="Arial Black" w:hAnsi="Arial Black"/>
          <w:b w:val="0"/>
          <w:color w:val="auto"/>
          <w:sz w:val="28"/>
          <w:szCs w:val="28"/>
        </w:rPr>
      </w:pPr>
      <w:r w:rsidRPr="005D7D88">
        <w:rPr>
          <w:rFonts w:ascii="Arial Black" w:hAnsi="Arial Black"/>
          <w:b w:val="0"/>
          <w:color w:val="auto"/>
          <w:sz w:val="56"/>
          <w:szCs w:val="56"/>
        </w:rPr>
        <w:sym w:font="Wingdings" w:char="F026"/>
      </w:r>
      <w:r w:rsidRPr="0039119D">
        <w:rPr>
          <w:rFonts w:ascii="Arial Black" w:hAnsi="Arial Black"/>
          <w:b w:val="0"/>
          <w:color w:val="auto"/>
          <w:sz w:val="28"/>
          <w:szCs w:val="28"/>
        </w:rPr>
        <w:t xml:space="preserve">  Relevant Laws and other Provisions</w:t>
      </w:r>
    </w:p>
    <w:p w14:paraId="59AEAF6C" w14:textId="77777777" w:rsidR="00AA0D67" w:rsidRDefault="00AA0D67" w:rsidP="00AA0D67">
      <w:pPr>
        <w:rPr>
          <w:rFonts w:cs="Aharoni"/>
        </w:rPr>
      </w:pPr>
      <w:r>
        <w:rPr>
          <w:rFonts w:cs="Aharoni"/>
        </w:rPr>
        <w:t>The laws and other provisions affecting this policy include:</w:t>
      </w:r>
    </w:p>
    <w:p w14:paraId="1D8CB22E" w14:textId="77777777" w:rsidR="00AA0D67" w:rsidRPr="00AA0D67" w:rsidRDefault="00AA0D67" w:rsidP="00AA0D6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ACECQA National Quality Framework Resource Kit (2012) </w:t>
      </w:r>
    </w:p>
    <w:p w14:paraId="399C506C" w14:textId="77777777" w:rsidR="00AA0D67" w:rsidRP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3CC6248A" w14:textId="77777777" w:rsidR="00AA0D67" w:rsidRPr="00AA0D67" w:rsidRDefault="00AA0D67" w:rsidP="00AA0D6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Quality Area 2 – Children’s Health &amp; Safety</w:t>
      </w: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br/>
        <w:t xml:space="preserve">Education and Care Services National Regulations (2011), R 81 </w:t>
      </w:r>
    </w:p>
    <w:p w14:paraId="18748BCA" w14:textId="77777777" w:rsidR="00AA0D67" w:rsidRPr="00AA0D67" w:rsidRDefault="00AA0D67" w:rsidP="00AA0D67">
      <w:pPr>
        <w:pStyle w:val="ListParagraph"/>
        <w:rPr>
          <w:rFonts w:ascii="Arial" w:hAnsi="Arial" w:cs="Arial"/>
          <w:sz w:val="20"/>
          <w:szCs w:val="20"/>
          <w:lang w:eastAsia="en-GB"/>
        </w:rPr>
      </w:pPr>
    </w:p>
    <w:p w14:paraId="4A238D10" w14:textId="77777777" w:rsidR="00AA0D67" w:rsidRPr="00AA0D67" w:rsidRDefault="00AA0D67" w:rsidP="00AA0D6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eastAsia="en-GB"/>
        </w:rPr>
      </w:pPr>
      <w:r w:rsidRPr="00AA0D67">
        <w:rPr>
          <w:rFonts w:ascii="Arial" w:hAnsi="Arial" w:cs="Arial"/>
          <w:sz w:val="20"/>
          <w:szCs w:val="20"/>
          <w:lang w:eastAsia="en-GB"/>
        </w:rPr>
        <w:t xml:space="preserve">Education and Care Services National Law Act (2010), S 165 </w:t>
      </w:r>
    </w:p>
    <w:p w14:paraId="0BA586AE" w14:textId="77777777" w:rsidR="00AA0D67" w:rsidRPr="00107D56" w:rsidRDefault="00AA0D67" w:rsidP="00AA0D67">
      <w:pPr>
        <w:pStyle w:val="Heading2"/>
        <w:ind w:left="0"/>
        <w:rPr>
          <w:color w:val="auto"/>
          <w:sz w:val="24"/>
          <w:szCs w:val="24"/>
        </w:rPr>
      </w:pPr>
      <w:r w:rsidRPr="00107D56">
        <w:rPr>
          <w:rFonts w:ascii="Tombats" w:hAnsi="Tombats"/>
          <w:color w:val="auto"/>
          <w:sz w:val="72"/>
          <w:szCs w:val="72"/>
        </w:rPr>
        <w:sym w:font="Webdings" w:char="F0A4"/>
      </w:r>
      <w:r w:rsidRPr="00107D56">
        <w:rPr>
          <w:color w:val="auto"/>
          <w:sz w:val="72"/>
          <w:szCs w:val="72"/>
        </w:rPr>
        <w:t xml:space="preserve">  </w:t>
      </w:r>
      <w:r w:rsidRPr="00107D56">
        <w:rPr>
          <w:rFonts w:ascii="Arial Black" w:hAnsi="Arial Black"/>
          <w:b w:val="0"/>
          <w:color w:val="auto"/>
          <w:sz w:val="28"/>
          <w:szCs w:val="28"/>
        </w:rPr>
        <w:t>Procedures</w:t>
      </w:r>
    </w:p>
    <w:p w14:paraId="02D1A950" w14:textId="77777777" w:rsidR="00AA0D67" w:rsidRDefault="00AA0D67" w:rsidP="00AA0D67">
      <w:pPr>
        <w:pStyle w:val="Heading3"/>
        <w:tabs>
          <w:tab w:val="left" w:pos="0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4BA46E" w14:textId="77777777" w:rsidR="00AA0D67" w:rsidRDefault="00AA0D67" w:rsidP="00AA0D67">
      <w:pPr>
        <w:pStyle w:val="Heading3"/>
        <w:tabs>
          <w:tab w:val="left" w:pos="0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3B4718" w14:textId="40591371" w:rsidR="00AA0D67" w:rsidRPr="00AA0D67" w:rsidRDefault="00AA0D67" w:rsidP="00AA0D67">
      <w:pPr>
        <w:pStyle w:val="Heading3"/>
        <w:tabs>
          <w:tab w:val="left" w:pos="0"/>
        </w:tabs>
        <w:rPr>
          <w:rFonts w:ascii="Arial" w:hAnsi="Arial" w:cs="Arial"/>
          <w:color w:val="auto"/>
          <w:sz w:val="20"/>
          <w:szCs w:val="20"/>
        </w:rPr>
      </w:pPr>
      <w:r w:rsidRPr="00AA0D67">
        <w:rPr>
          <w:rFonts w:ascii="Arial" w:hAnsi="Arial" w:cs="Arial"/>
          <w:b/>
          <w:bCs/>
          <w:color w:val="auto"/>
          <w:sz w:val="20"/>
          <w:szCs w:val="20"/>
        </w:rPr>
        <w:t>Definition</w:t>
      </w:r>
    </w:p>
    <w:p w14:paraId="133F8ECE" w14:textId="77777777" w:rsidR="00AA0D67" w:rsidRPr="00F04FFB" w:rsidRDefault="00AA0D67" w:rsidP="00AA0D67">
      <w:pPr>
        <w:pStyle w:val="NormalWeb"/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Our service defines ‘rest’ as a period of solitude, calmness or tranquillity. Considering the busy and energetic nature of children’s day, we feel that it is important for children to participate in a quiet/rest period during the day in order to rest, relax and recharge their body. Effective rest strategies are important factors in ensuring a child feels secure and safe in an early childhood environment. </w:t>
      </w:r>
    </w:p>
    <w:p w14:paraId="6DAE4736" w14:textId="77777777" w:rsidR="00AA0D67" w:rsidRDefault="00AA0D67" w:rsidP="002B4671">
      <w:pPr>
        <w:pStyle w:val="NormalWeb"/>
        <w:rPr>
          <w:rFonts w:ascii="Arial" w:hAnsi="Arial" w:cs="Arial"/>
          <w:b/>
          <w:bCs/>
          <w:szCs w:val="20"/>
        </w:rPr>
      </w:pPr>
    </w:p>
    <w:p w14:paraId="13C1CA22" w14:textId="0856314F" w:rsidR="002B4671" w:rsidRPr="00F04FFB" w:rsidRDefault="002B4671" w:rsidP="002B4671">
      <w:pPr>
        <w:pStyle w:val="NormalWeb"/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Jamboree Heights OSHC is committed to: </w:t>
      </w:r>
    </w:p>
    <w:p w14:paraId="577B76E7" w14:textId="32F28E3C" w:rsidR="00D15A22" w:rsidRPr="00D15A22" w:rsidRDefault="002B4671" w:rsidP="00D15A22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Providing a positive and nurturing environment for all children attending the service </w:t>
      </w:r>
    </w:p>
    <w:p w14:paraId="629E5233" w14:textId="135CB69B" w:rsidR="002B4671" w:rsidRPr="00F04FFB" w:rsidRDefault="002B4671" w:rsidP="00D15A22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Recognising that children have different requirements for relaxation and sleep, and being responsive to those needs to ensure that children feel safe and secure at the service </w:t>
      </w:r>
    </w:p>
    <w:p w14:paraId="6EC45B65" w14:textId="77777777" w:rsidR="002B4671" w:rsidRPr="00F04FFB" w:rsidRDefault="002B4671" w:rsidP="00D15A22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Consulting with parents/guardians about their child’s individual relaxation and sleep requirements/practices, and ensuring practices at the service are responsive to the values and cultural beliefs of each family </w:t>
      </w:r>
    </w:p>
    <w:p w14:paraId="7DF32EF8" w14:textId="77777777" w:rsidR="002B4671" w:rsidRPr="00F04FFB" w:rsidRDefault="00496B16" w:rsidP="00D15A22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Its duty of care</w:t>
      </w:r>
      <w:r w:rsidR="002B4671" w:rsidRPr="00F04FFB">
        <w:rPr>
          <w:rFonts w:ascii="Arial" w:hAnsi="Arial" w:cs="Arial"/>
          <w:sz w:val="20"/>
          <w:szCs w:val="20"/>
        </w:rPr>
        <w:t xml:space="preserve"> to all children at Jamboree Heights OSHC, and ensuring that adequate supervision is maintained while children are sleeping, resting or relaxing </w:t>
      </w:r>
    </w:p>
    <w:p w14:paraId="2BBDA904" w14:textId="145C6E71" w:rsidR="00D20A1F" w:rsidRPr="00F04FFB" w:rsidRDefault="008D12D7" w:rsidP="00D20A1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  <w:r w:rsidR="00D20A1F" w:rsidRPr="00F04FFB">
        <w:rPr>
          <w:rFonts w:ascii="Arial" w:hAnsi="Arial" w:cs="Arial"/>
          <w:sz w:val="20"/>
          <w:szCs w:val="20"/>
        </w:rPr>
        <w:t xml:space="preserve">Management will ensure: </w:t>
      </w:r>
    </w:p>
    <w:p w14:paraId="2609C51D" w14:textId="77777777" w:rsidR="00D20A1F" w:rsidRPr="00F04FFB" w:rsidRDefault="00D20A1F" w:rsidP="00D15A22">
      <w:pPr>
        <w:pStyle w:val="NormalWeb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Reasonable steps to ensure that children’s needs are being met by giving them the opportunity to rest, having regard to the ages, developmental stages and individual needs of each child. </w:t>
      </w:r>
    </w:p>
    <w:p w14:paraId="5FDBA806" w14:textId="77777777" w:rsidR="00D20A1F" w:rsidRPr="00F04FFB" w:rsidRDefault="00D20A1F" w:rsidP="00D20A1F">
      <w:pPr>
        <w:pStyle w:val="NormalWeb"/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Educators will: </w:t>
      </w:r>
    </w:p>
    <w:p w14:paraId="08C9DAC1" w14:textId="77777777" w:rsidR="00D20A1F" w:rsidRPr="00F04FFB" w:rsidRDefault="00D20A1F" w:rsidP="00D15A22">
      <w:pPr>
        <w:pStyle w:val="NormalWeb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Consult with families about children’s rest needs. </w:t>
      </w:r>
    </w:p>
    <w:p w14:paraId="42D9D928" w14:textId="77777777" w:rsidR="00D20A1F" w:rsidRPr="00F04FFB" w:rsidRDefault="00D20A1F" w:rsidP="00D15A22">
      <w:pPr>
        <w:pStyle w:val="NormalWeb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lastRenderedPageBreak/>
        <w:t xml:space="preserve">Educators will be sensitive to each child’s needs so that rest times are a positive experience. </w:t>
      </w:r>
    </w:p>
    <w:p w14:paraId="3A6CB277" w14:textId="77777777" w:rsidR="00D20A1F" w:rsidRPr="00F04FFB" w:rsidRDefault="00D20A1F" w:rsidP="00D15A22">
      <w:pPr>
        <w:pStyle w:val="NormalWeb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Create a relaxing environment for children </w:t>
      </w:r>
    </w:p>
    <w:p w14:paraId="1210BF0D" w14:textId="405B59DA" w:rsidR="00AA0D67" w:rsidRDefault="00D20A1F" w:rsidP="008D12D7">
      <w:pPr>
        <w:pStyle w:val="NormalWeb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04FFB">
        <w:rPr>
          <w:rFonts w:ascii="Arial" w:hAnsi="Arial" w:cs="Arial"/>
          <w:sz w:val="20"/>
          <w:szCs w:val="20"/>
        </w:rPr>
        <w:t xml:space="preserve">Maintain adequate supervision and maintain educator ratios. </w:t>
      </w:r>
    </w:p>
    <w:p w14:paraId="0B92CB47" w14:textId="198D166C" w:rsidR="008D12D7" w:rsidRDefault="008D12D7" w:rsidP="008D12D7">
      <w:pPr>
        <w:pStyle w:val="NormalWeb"/>
        <w:rPr>
          <w:rFonts w:ascii="Arial" w:hAnsi="Arial" w:cs="Arial"/>
          <w:sz w:val="20"/>
          <w:szCs w:val="20"/>
        </w:rPr>
      </w:pPr>
    </w:p>
    <w:p w14:paraId="54A1E67B" w14:textId="77777777" w:rsidR="008D12D7" w:rsidRPr="008D12D7" w:rsidRDefault="008D12D7" w:rsidP="008D12D7">
      <w:pPr>
        <w:pStyle w:val="NormalWeb"/>
        <w:rPr>
          <w:rFonts w:ascii="Arial" w:hAnsi="Arial" w:cs="Arial"/>
          <w:sz w:val="20"/>
          <w:szCs w:val="20"/>
        </w:rPr>
      </w:pPr>
    </w:p>
    <w:p w14:paraId="12EB274C" w14:textId="49E284E2" w:rsidR="00B5333B" w:rsidRPr="00AA0D67" w:rsidRDefault="00B5333B" w:rsidP="00AA0D6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Programs are planned with time given between experiences for children to be able to rest. This may mean quiet experiences are offered</w:t>
      </w:r>
      <w:r w:rsidR="00DF4F49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(in both starched and </w:t>
      </w:r>
      <w:r w:rsidR="00AA0D67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non-starched forms)</w:t>
      </w: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with a gap of time to allow children to sit quietly, read a book or engage in chats with friends. </w:t>
      </w:r>
      <w:r w:rsidR="00AA0D67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7DC0B2E5" w14:textId="77777777" w:rsidR="00AA0D67" w:rsidRP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24F495A" w14:textId="77777777" w:rsidR="00B5333B" w:rsidRPr="00AA0D67" w:rsidRDefault="00B5333B" w:rsidP="00AA0D6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Educators will ensure they </w:t>
      </w:r>
      <w:proofErr w:type="gramStart"/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are aware of the position of all children at all times</w:t>
      </w:r>
      <w:proofErr w:type="gramEnd"/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to provide appropriate supervision. </w:t>
      </w:r>
    </w:p>
    <w:p w14:paraId="16BDEB1F" w14:textId="77777777" w:rsidR="00B5333B" w:rsidRPr="00AA0D67" w:rsidRDefault="000A330A" w:rsidP="00AA0D6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‘</w:t>
      </w:r>
      <w:r w:rsidR="00785BD8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R</w:t>
      </w:r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est zone</w:t>
      </w: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’</w:t>
      </w:r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will allow children to relax on </w:t>
      </w: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couches, </w:t>
      </w:r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cushions and bean ba</w:t>
      </w: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gs at any time, with books </w:t>
      </w:r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available to encourage quiet time. If a child falls asleep at this time, they will be allowed to continue that sleep, in a supported manner, with appropriate supervision </w:t>
      </w:r>
      <w:proofErr w:type="gramStart"/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at all times</w:t>
      </w:r>
      <w:proofErr w:type="gramEnd"/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3C22C26B" w14:textId="77777777" w:rsid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5D99ED1F" w14:textId="5D7066C0" w:rsidR="00DF4F49" w:rsidRPr="00AA0D67" w:rsidRDefault="00B5333B" w:rsidP="00AA0D6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Children will be provided with a quiet space to sleep, with supervision </w:t>
      </w:r>
      <w:proofErr w:type="gramStart"/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provided by educators at all times</w:t>
      </w:r>
      <w:proofErr w:type="gramEnd"/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46D2359C" w14:textId="77777777" w:rsid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0EF1CD8B" w14:textId="19B4C40F" w:rsidR="00B5333B" w:rsidRPr="00AA0D67" w:rsidRDefault="00DF4F49" w:rsidP="00AA0D6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If parents don’t want their child/ren to sleep, Jamboree Heights OSHC staff will do their best to keep child/ren awake and or wake the child/ren up. </w:t>
      </w:r>
    </w:p>
    <w:p w14:paraId="210F9B95" w14:textId="77777777" w:rsid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D6719B2" w14:textId="2B9227DA" w:rsidR="00B5333B" w:rsidRPr="00AA0D67" w:rsidRDefault="00B5333B" w:rsidP="00AA0D6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Although school aged children are not considered at high risk of SIDS, the SIDS guidelines for safe sleeping will be followed. </w:t>
      </w:r>
    </w:p>
    <w:p w14:paraId="2751B774" w14:textId="77777777" w:rsidR="00B5333B" w:rsidRPr="00F04FFB" w:rsidRDefault="00B5333B" w:rsidP="00B5333B">
      <w:pPr>
        <w:pStyle w:val="NormalWeb"/>
        <w:rPr>
          <w:rFonts w:ascii="Arial" w:hAnsi="Arial" w:cs="Arial"/>
          <w:sz w:val="20"/>
          <w:szCs w:val="20"/>
        </w:rPr>
      </w:pPr>
    </w:p>
    <w:p w14:paraId="04F7A54D" w14:textId="77777777" w:rsidR="00B5333B" w:rsidRPr="00D15A22" w:rsidRDefault="00F04FFB" w:rsidP="00AB124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15A22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Guidelines to follow: </w:t>
      </w:r>
    </w:p>
    <w:p w14:paraId="1DF26B87" w14:textId="29C4F276" w:rsidR="00AA0D67" w:rsidRDefault="00C90CA0" w:rsidP="00AA0D6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All children’s f</w:t>
      </w:r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ace</w:t>
      </w: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s should be</w:t>
      </w:r>
      <w:r w:rsidR="00B5333B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uncovered. </w:t>
      </w:r>
    </w:p>
    <w:p w14:paraId="039668DB" w14:textId="77777777" w:rsidR="00AA0D67" w:rsidRP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1C5E8C0" w14:textId="01F49DE0" w:rsidR="00B5333B" w:rsidRPr="00AA0D67" w:rsidRDefault="00B5333B" w:rsidP="00AA0D6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>A quiet place should be designated for rest and sleep, away fro</w:t>
      </w:r>
      <w:r w:rsidR="00520AAD"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m interactive groups. </w:t>
      </w: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3283D95E" w14:textId="77777777" w:rsid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007EF6A7" w14:textId="3C415C6F" w:rsidR="00B5333B" w:rsidRPr="00AA0D67" w:rsidRDefault="00B5333B" w:rsidP="00AA0D6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Sleep and rest environments and equipment should be safe and free from hazards. </w:t>
      </w:r>
    </w:p>
    <w:p w14:paraId="57CEB682" w14:textId="77777777" w:rsidR="00AA0D67" w:rsidRDefault="00AA0D67" w:rsidP="00AA0D67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21C92389" w14:textId="0736AE70" w:rsidR="00B5333B" w:rsidRPr="00AA0D67" w:rsidRDefault="00B5333B" w:rsidP="00AA0D6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A0D6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Supervision planning and the placement of educators across a service should ensure educators are able to adequately supervise sleeping and resting children. </w:t>
      </w:r>
    </w:p>
    <w:p w14:paraId="3C650175" w14:textId="77777777" w:rsidR="00F04FFB" w:rsidRPr="00F04FFB" w:rsidRDefault="00F04FFB" w:rsidP="00F04FF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XSpec="right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1943"/>
        <w:gridCol w:w="1937"/>
      </w:tblGrid>
      <w:tr w:rsidR="00D15A22" w:rsidRPr="00487BD4" w14:paraId="71995875" w14:textId="77777777" w:rsidTr="00D26DB5">
        <w:tc>
          <w:tcPr>
            <w:tcW w:w="2162" w:type="dxa"/>
          </w:tcPr>
          <w:p w14:paraId="0916FF12" w14:textId="5344E044" w:rsidR="00D15A22" w:rsidRPr="00487BD4" w:rsidRDefault="00D15A22" w:rsidP="008D12D7">
            <w:pPr>
              <w:spacing w:after="240" w:line="240" w:lineRule="atLeast"/>
              <w:rPr>
                <w:rFonts w:cs="Arial"/>
              </w:rPr>
            </w:pPr>
            <w:r w:rsidRPr="00487BD4">
              <w:rPr>
                <w:rFonts w:cs="Arial"/>
              </w:rPr>
              <w:t>Date</w:t>
            </w:r>
            <w:r w:rsidR="008D12D7">
              <w:rPr>
                <w:rFonts w:cs="Arial"/>
              </w:rPr>
              <w:t xml:space="preserve"> </w:t>
            </w:r>
            <w:r w:rsidRPr="00487BD4">
              <w:rPr>
                <w:rFonts w:cs="Arial"/>
              </w:rPr>
              <w:t>of Development</w:t>
            </w:r>
          </w:p>
        </w:tc>
        <w:tc>
          <w:tcPr>
            <w:tcW w:w="1943" w:type="dxa"/>
          </w:tcPr>
          <w:p w14:paraId="5244171A" w14:textId="77777777" w:rsidR="00D15A22" w:rsidRPr="00487BD4" w:rsidRDefault="00D15A22" w:rsidP="00D26DB5">
            <w:pPr>
              <w:spacing w:after="240" w:line="240" w:lineRule="atLeast"/>
              <w:jc w:val="both"/>
              <w:rPr>
                <w:rFonts w:cs="Arial"/>
              </w:rPr>
            </w:pPr>
            <w:r w:rsidRPr="00487BD4">
              <w:rPr>
                <w:rFonts w:cs="Arial"/>
              </w:rPr>
              <w:t>Date Ratified</w:t>
            </w:r>
          </w:p>
        </w:tc>
        <w:tc>
          <w:tcPr>
            <w:tcW w:w="1937" w:type="dxa"/>
          </w:tcPr>
          <w:p w14:paraId="193717D0" w14:textId="77777777" w:rsidR="00D15A22" w:rsidRPr="00487BD4" w:rsidRDefault="00D15A22" w:rsidP="00D26DB5">
            <w:pPr>
              <w:spacing w:after="240" w:line="240" w:lineRule="atLeast"/>
              <w:jc w:val="both"/>
              <w:rPr>
                <w:rFonts w:cs="Arial"/>
              </w:rPr>
            </w:pPr>
            <w:r w:rsidRPr="00487BD4">
              <w:rPr>
                <w:rFonts w:cs="Arial"/>
              </w:rPr>
              <w:t>Date of Review</w:t>
            </w:r>
          </w:p>
        </w:tc>
      </w:tr>
      <w:tr w:rsidR="00D15A22" w:rsidRPr="00844F2F" w14:paraId="3E1C46AD" w14:textId="77777777" w:rsidTr="00D26DB5">
        <w:trPr>
          <w:trHeight w:val="279"/>
        </w:trPr>
        <w:tc>
          <w:tcPr>
            <w:tcW w:w="2162" w:type="dxa"/>
          </w:tcPr>
          <w:p w14:paraId="22E36ECD" w14:textId="5DC574BF" w:rsidR="00D15A22" w:rsidRPr="00487BD4" w:rsidRDefault="00D15A22" w:rsidP="00D26DB5">
            <w:pPr>
              <w:spacing w:after="240" w:line="2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7/8/2019</w:t>
            </w:r>
          </w:p>
        </w:tc>
        <w:tc>
          <w:tcPr>
            <w:tcW w:w="1943" w:type="dxa"/>
          </w:tcPr>
          <w:p w14:paraId="0A1E7057" w14:textId="360F3551" w:rsidR="00D15A22" w:rsidRPr="00B868D3" w:rsidRDefault="00D15A22" w:rsidP="00D26DB5">
            <w:pPr>
              <w:pStyle w:val="ListBullet"/>
              <w:tabs>
                <w:tab w:val="clear" w:pos="2487"/>
              </w:tabs>
              <w:ind w:left="0" w:firstLine="0"/>
              <w:rPr>
                <w:rFonts w:cs="Arial"/>
              </w:rPr>
            </w:pPr>
          </w:p>
        </w:tc>
        <w:tc>
          <w:tcPr>
            <w:tcW w:w="1937" w:type="dxa"/>
          </w:tcPr>
          <w:p w14:paraId="4CC8601E" w14:textId="3BE86708" w:rsidR="00D15A22" w:rsidRPr="00844F2F" w:rsidRDefault="00D15A22" w:rsidP="00D26DB5">
            <w:pPr>
              <w:pStyle w:val="ListBullet"/>
              <w:tabs>
                <w:tab w:val="clear" w:pos="2487"/>
              </w:tabs>
              <w:ind w:left="0" w:firstLine="0"/>
              <w:rPr>
                <w:rFonts w:cs="Arial"/>
              </w:rPr>
            </w:pPr>
          </w:p>
        </w:tc>
      </w:tr>
    </w:tbl>
    <w:p w14:paraId="32B6D694" w14:textId="77777777" w:rsidR="00B57493" w:rsidRPr="00AA0D67" w:rsidRDefault="00B57493" w:rsidP="00AA0D67">
      <w:pPr>
        <w:spacing w:line="480" w:lineRule="auto"/>
        <w:rPr>
          <w:sz w:val="28"/>
          <w:szCs w:val="28"/>
          <w:lang w:val="en-US"/>
        </w:rPr>
      </w:pPr>
    </w:p>
    <w:sectPr w:rsidR="00B57493" w:rsidRPr="00AA0D67" w:rsidSect="00A2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95CC" w14:textId="77777777" w:rsidR="00347B4A" w:rsidRDefault="00347B4A" w:rsidP="00347B4A">
      <w:r>
        <w:separator/>
      </w:r>
    </w:p>
  </w:endnote>
  <w:endnote w:type="continuationSeparator" w:id="0">
    <w:p w14:paraId="50490C91" w14:textId="77777777" w:rsidR="00347B4A" w:rsidRDefault="00347B4A" w:rsidP="0034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om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FDDC" w14:textId="77777777" w:rsidR="00D64DAF" w:rsidRDefault="00D6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456F" w14:textId="77777777" w:rsidR="00D64DAF" w:rsidRDefault="00D6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5743" w14:textId="77777777" w:rsidR="00D64DAF" w:rsidRDefault="00D6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C994" w14:textId="77777777" w:rsidR="00347B4A" w:rsidRDefault="00347B4A" w:rsidP="00347B4A">
      <w:r>
        <w:separator/>
      </w:r>
    </w:p>
  </w:footnote>
  <w:footnote w:type="continuationSeparator" w:id="0">
    <w:p w14:paraId="3FEE0EC7" w14:textId="77777777" w:rsidR="00347B4A" w:rsidRDefault="00347B4A" w:rsidP="0034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4F4E" w14:textId="77777777" w:rsidR="00D64DAF" w:rsidRDefault="00D64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3CD5" w14:textId="1F861802" w:rsidR="00D64DAF" w:rsidRDefault="00D64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7B49" w14:textId="77777777" w:rsidR="00D64DAF" w:rsidRDefault="00D64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9FA"/>
    <w:multiLevelType w:val="hybridMultilevel"/>
    <w:tmpl w:val="C3DC80CE"/>
    <w:lvl w:ilvl="0" w:tplc="C1B82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EEA"/>
    <w:multiLevelType w:val="hybridMultilevel"/>
    <w:tmpl w:val="D99013A2"/>
    <w:lvl w:ilvl="0" w:tplc="C1B82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243"/>
    <w:multiLevelType w:val="hybridMultilevel"/>
    <w:tmpl w:val="4ED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E2D"/>
    <w:multiLevelType w:val="hybridMultilevel"/>
    <w:tmpl w:val="B6C08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C0E92"/>
    <w:multiLevelType w:val="multilevel"/>
    <w:tmpl w:val="696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C48AD"/>
    <w:multiLevelType w:val="multilevel"/>
    <w:tmpl w:val="D4F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D240D"/>
    <w:multiLevelType w:val="multilevel"/>
    <w:tmpl w:val="FEE8D806"/>
    <w:lvl w:ilvl="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396B3D"/>
    <w:multiLevelType w:val="hybridMultilevel"/>
    <w:tmpl w:val="12BE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29CE"/>
    <w:multiLevelType w:val="hybridMultilevel"/>
    <w:tmpl w:val="06F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74FE"/>
    <w:multiLevelType w:val="hybridMultilevel"/>
    <w:tmpl w:val="037C2004"/>
    <w:lvl w:ilvl="0" w:tplc="C1B829A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C5A2BF3"/>
    <w:multiLevelType w:val="multilevel"/>
    <w:tmpl w:val="8194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A43E1"/>
    <w:multiLevelType w:val="hybridMultilevel"/>
    <w:tmpl w:val="BE6CCAB6"/>
    <w:lvl w:ilvl="0" w:tplc="C1B829A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F29E4"/>
    <w:multiLevelType w:val="hybridMultilevel"/>
    <w:tmpl w:val="C5888D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5037FE"/>
    <w:multiLevelType w:val="hybridMultilevel"/>
    <w:tmpl w:val="AC585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CF4ABB"/>
    <w:multiLevelType w:val="hybridMultilevel"/>
    <w:tmpl w:val="2784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511972"/>
    <w:multiLevelType w:val="multilevel"/>
    <w:tmpl w:val="F736943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A0"/>
    <w:rsid w:val="00043D0E"/>
    <w:rsid w:val="000A330A"/>
    <w:rsid w:val="000A4F65"/>
    <w:rsid w:val="001657F9"/>
    <w:rsid w:val="00255F23"/>
    <w:rsid w:val="002B4671"/>
    <w:rsid w:val="003258A0"/>
    <w:rsid w:val="00347B4A"/>
    <w:rsid w:val="003864D4"/>
    <w:rsid w:val="00496B16"/>
    <w:rsid w:val="00520AAD"/>
    <w:rsid w:val="00610D74"/>
    <w:rsid w:val="00785BD8"/>
    <w:rsid w:val="0080384C"/>
    <w:rsid w:val="008D12D7"/>
    <w:rsid w:val="00927100"/>
    <w:rsid w:val="00A170F3"/>
    <w:rsid w:val="00A24527"/>
    <w:rsid w:val="00A93C19"/>
    <w:rsid w:val="00AA0D67"/>
    <w:rsid w:val="00AB1249"/>
    <w:rsid w:val="00AC0069"/>
    <w:rsid w:val="00B2027B"/>
    <w:rsid w:val="00B5333B"/>
    <w:rsid w:val="00B57493"/>
    <w:rsid w:val="00C90CA0"/>
    <w:rsid w:val="00D02A43"/>
    <w:rsid w:val="00D15A22"/>
    <w:rsid w:val="00D20A1F"/>
    <w:rsid w:val="00D64DAF"/>
    <w:rsid w:val="00DF4F49"/>
    <w:rsid w:val="00E131DA"/>
    <w:rsid w:val="00ED0B64"/>
    <w:rsid w:val="00EF2959"/>
    <w:rsid w:val="00F04FFB"/>
    <w:rsid w:val="00FD0409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1E5BC"/>
  <w15:docId w15:val="{1176B19D-2BC3-4BDB-909C-712B8C42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D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D67"/>
    <w:pPr>
      <w:keepNext/>
      <w:keepLines/>
      <w:spacing w:before="200"/>
      <w:ind w:left="1080"/>
      <w:outlineLvl w:val="1"/>
    </w:pPr>
    <w:rPr>
      <w:rFonts w:asciiTheme="majorHAnsi" w:eastAsiaTheme="majorEastAsia" w:hAnsiTheme="majorHAnsi" w:cstheme="majorBidi"/>
      <w:b/>
      <w:bCs/>
      <w:color w:val="4472C4" w:themeColor="accent1"/>
      <w:spacing w:val="-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67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B4A"/>
  </w:style>
  <w:style w:type="paragraph" w:styleId="Footer">
    <w:name w:val="footer"/>
    <w:basedOn w:val="Normal"/>
    <w:link w:val="FooterChar"/>
    <w:uiPriority w:val="99"/>
    <w:unhideWhenUsed/>
    <w:rsid w:val="0034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B4A"/>
  </w:style>
  <w:style w:type="character" w:customStyle="1" w:styleId="Heading2Char">
    <w:name w:val="Heading 2 Char"/>
    <w:basedOn w:val="DefaultParagraphFont"/>
    <w:link w:val="Heading2"/>
    <w:uiPriority w:val="9"/>
    <w:rsid w:val="00AA0D67"/>
    <w:rPr>
      <w:rFonts w:asciiTheme="majorHAnsi" w:eastAsiaTheme="majorEastAsia" w:hAnsiTheme="majorHAnsi" w:cstheme="majorBidi"/>
      <w:b/>
      <w:bCs/>
      <w:color w:val="4472C4" w:themeColor="accent1"/>
      <w:spacing w:val="-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D6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List"/>
    <w:rsid w:val="00D15A22"/>
    <w:pPr>
      <w:tabs>
        <w:tab w:val="num" w:pos="2487"/>
      </w:tabs>
      <w:spacing w:after="240" w:line="240" w:lineRule="atLeast"/>
      <w:ind w:left="2487"/>
      <w:contextualSpacing w:val="0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D15A22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3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55A0-5A9A-48BA-8F6C-40144B07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Boch</dc:creator>
  <cp:lastModifiedBy>OSHC Jamboree Heights</cp:lastModifiedBy>
  <cp:revision>5</cp:revision>
  <dcterms:created xsi:type="dcterms:W3CDTF">2019-08-06T23:39:00Z</dcterms:created>
  <dcterms:modified xsi:type="dcterms:W3CDTF">2019-09-19T07:13:00Z</dcterms:modified>
</cp:coreProperties>
</file>